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1374938</wp:posOffset>
            </wp:positionH>
            <wp:positionV relativeFrom="paragraph">
              <wp:posOffset>0</wp:posOffset>
            </wp:positionV>
            <wp:extent cx="2981325" cy="1136650"/>
            <wp:effectExtent b="0" l="0" r="0" t="0"/>
            <wp:wrapSquare wrapText="bothSides" distB="0" distT="0" distL="114300" distR="114300"/>
            <wp:docPr descr="https://lh6.googleusercontent.com/irNwPxaZQYzV3jRH1oLEtZUYBZ7m_O2iNdldnvwlFUSEOGYKkYRc8FYdhl6y6ccff9auK_zVBdpuO51Fco2pBFratOY5yVhjuouFPRFkxWLMyp7yaCcc3rtF7BNnautgejKBD7f54r3ttcETqRL1uw" id="1" name="image1.png"/>
            <a:graphic>
              <a:graphicData uri="http://schemas.openxmlformats.org/drawingml/2006/picture">
                <pic:pic>
                  <pic:nvPicPr>
                    <pic:cNvPr descr="https://lh6.googleusercontent.com/irNwPxaZQYzV3jRH1oLEtZUYBZ7m_O2iNdldnvwlFUSEOGYKkYRc8FYdhl6y6ccff9auK_zVBdpuO51Fco2pBFratOY5yVhjuouFPRFkxWLMyp7yaCcc3rtF7BNnautgejKBD7f54r3ttcETqRL1uw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36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4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1245" w:right="248" w:hanging="720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248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Los siguientes datos son los pesos (en kg) de 25 bebés nacidos en una maternidad. 2,8 - </w:t>
      </w:r>
      <w:r w:rsidDel="00000000" w:rsidR="00000000" w:rsidRPr="00000000">
        <w:rPr>
          <w:rFonts w:ascii="Arial MT" w:cs="Arial MT" w:eastAsia="Arial MT" w:hAnsi="Arial MT"/>
          <w:strike w:val="1"/>
          <w:sz w:val="24"/>
          <w:szCs w:val="24"/>
          <w:rtl w:val="0"/>
        </w:rPr>
        <w:t xml:space="preserve">2,5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 - 3,1 - 2,8 - 3,2 -3 - 3,9 - 3,7 - </w:t>
      </w:r>
      <w:r w:rsidDel="00000000" w:rsidR="00000000" w:rsidRPr="00000000">
        <w:rPr>
          <w:rFonts w:ascii="Arial MT" w:cs="Arial MT" w:eastAsia="Arial MT" w:hAnsi="Arial MT"/>
          <w:strike w:val="1"/>
          <w:sz w:val="24"/>
          <w:szCs w:val="24"/>
          <w:rtl w:val="0"/>
        </w:rPr>
        <w:t xml:space="preserve">2,6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 - 3,1 - 3 - 3,5 - </w:t>
      </w:r>
      <w:r w:rsidDel="00000000" w:rsidR="00000000" w:rsidRPr="00000000">
        <w:rPr>
          <w:rFonts w:ascii="Arial MT" w:cs="Arial MT" w:eastAsia="Arial MT" w:hAnsi="Arial MT"/>
          <w:strike w:val="1"/>
          <w:sz w:val="24"/>
          <w:szCs w:val="24"/>
          <w:rtl w:val="0"/>
        </w:rPr>
        <w:t xml:space="preserve">2,7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 MT" w:cs="Arial MT" w:eastAsia="Arial MT" w:hAnsi="Arial MT"/>
          <w:strike w:val="1"/>
          <w:sz w:val="24"/>
          <w:szCs w:val="24"/>
          <w:rtl w:val="0"/>
        </w:rPr>
        <w:t xml:space="preserve">2,6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 MT" w:cs="Arial MT" w:eastAsia="Arial MT" w:hAnsi="Arial MT"/>
          <w:strike w:val="1"/>
          <w:sz w:val="24"/>
          <w:szCs w:val="24"/>
          <w:rtl w:val="0"/>
        </w:rPr>
        <w:t xml:space="preserve">2,5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 - 3,8 - 3,2 - 2,9 -2,8 - 3,8 - 3,6 - 3,9 - 2,8 - 3,6 - </w:t>
      </w:r>
      <w:r w:rsidDel="00000000" w:rsidR="00000000" w:rsidRPr="00000000">
        <w:rPr>
          <w:rFonts w:ascii="Arial MT" w:cs="Arial MT" w:eastAsia="Arial MT" w:hAnsi="Arial MT"/>
          <w:strike w:val="1"/>
          <w:sz w:val="24"/>
          <w:szCs w:val="24"/>
          <w:rtl w:val="0"/>
        </w:rPr>
        <w:t xml:space="preserve">2,7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959"/>
        </w:tabs>
        <w:spacing w:before="139" w:line="240" w:lineRule="auto"/>
        <w:ind w:left="959" w:hanging="358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Completa la siguiente tabla:</w:t>
      </w:r>
    </w:p>
    <w:p w:rsidR="00000000" w:rsidDel="00000000" w:rsidP="00000000" w:rsidRDefault="00000000" w:rsidRPr="00000000" w14:paraId="00000009">
      <w:pPr>
        <w:widowControl w:val="0"/>
        <w:spacing w:before="1" w:line="240" w:lineRule="auto"/>
        <w:rPr>
          <w:rFonts w:ascii="Arial MT" w:cs="Arial MT" w:eastAsia="Arial MT" w:hAnsi="Arial MT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36.0" w:type="dxa"/>
        <w:jc w:val="center"/>
        <w:tblBorders>
          <w:top w:color="ff0000" w:space="0" w:sz="4" w:val="single"/>
          <w:left w:color="ff0000" w:space="0" w:sz="4" w:val="single"/>
          <w:bottom w:color="ff0000" w:space="0" w:sz="4" w:val="single"/>
          <w:right w:color="ff0000" w:space="0" w:sz="4" w:val="single"/>
          <w:insideH w:color="ff0000" w:space="0" w:sz="4" w:val="single"/>
          <w:insideV w:color="ff0000" w:space="0" w:sz="4" w:val="single"/>
        </w:tblBorders>
        <w:tblLayout w:type="fixed"/>
        <w:tblLook w:val="0000"/>
      </w:tblPr>
      <w:tblGrid>
        <w:gridCol w:w="2624"/>
        <w:gridCol w:w="2230"/>
        <w:gridCol w:w="2117"/>
        <w:gridCol w:w="1365"/>
        <w:tblGridChange w:id="0">
          <w:tblGrid>
            <w:gridCol w:w="2624"/>
            <w:gridCol w:w="2230"/>
            <w:gridCol w:w="2117"/>
            <w:gridCol w:w="1365"/>
          </w:tblGrid>
        </w:tblGridChange>
      </w:tblGrid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4" w:lineRule="auto"/>
              <w:ind w:left="530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Intervalo de peso</w:t>
            </w:r>
          </w:p>
          <w:p w:rsidR="00000000" w:rsidDel="00000000" w:rsidP="00000000" w:rsidRDefault="00000000" w:rsidRPr="00000000" w14:paraId="0000000B">
            <w:pPr>
              <w:spacing w:before="139" w:lineRule="auto"/>
              <w:ind w:left="9" w:firstLine="0"/>
              <w:jc w:val="center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(en kg)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4" w:lineRule="auto"/>
              <w:ind w:left="659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Frecuencia</w:t>
            </w:r>
          </w:p>
          <w:p w:rsidR="00000000" w:rsidDel="00000000" w:rsidP="00000000" w:rsidRDefault="00000000" w:rsidRPr="00000000" w14:paraId="0000000D">
            <w:pPr>
              <w:spacing w:before="139" w:lineRule="auto"/>
              <w:ind w:left="659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absoluta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4" w:lineRule="auto"/>
              <w:ind w:left="604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Frecuencia</w:t>
            </w:r>
          </w:p>
          <w:p w:rsidR="00000000" w:rsidDel="00000000" w:rsidP="00000000" w:rsidRDefault="00000000" w:rsidRPr="00000000" w14:paraId="0000000F">
            <w:pPr>
              <w:spacing w:before="139" w:lineRule="auto"/>
              <w:ind w:left="671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relativa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4" w:lineRule="auto"/>
              <w:ind w:left="108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Porcentaje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81" w:lineRule="auto"/>
              <w:ind w:right="788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[2,5; 2,8)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288" w:firstLine="0"/>
              <w:jc w:val="center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81" w:lineRule="auto"/>
              <w:ind w:right="788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[2,8; 3,1)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81" w:lineRule="auto"/>
              <w:ind w:right="788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[3,1; 3,4)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9" w:lineRule="auto"/>
              <w:ind w:right="788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[3,4; 3,7)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9" w:lineRule="auto"/>
              <w:ind w:right="788"/>
              <w:jc w:val="right"/>
              <w:rPr>
                <w:rFonts w:ascii="Cambria Math" w:cs="Cambria Math" w:eastAsia="Cambria Math" w:hAnsi="Cambria Math"/>
                <w:sz w:val="24"/>
                <w:szCs w:val="24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[3,7; 4,0)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4" w:lineRule="auto"/>
              <w:ind w:left="391" w:firstLine="0"/>
              <w:rPr>
                <w:rFonts w:ascii="Arial MT" w:cs="Arial MT" w:eastAsia="Arial MT" w:hAnsi="Arial MT"/>
                <w:sz w:val="24"/>
                <w:szCs w:val="24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4"/>
                <w:szCs w:val="24"/>
                <w:rtl w:val="0"/>
              </w:rPr>
              <w:t xml:space="preserve">Totales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before="130" w:line="240" w:lineRule="auto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left="242" w:right="399" w:firstLine="283"/>
        <w:jc w:val="both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Observa que el intervalo </w:t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[2,5; 2,8) 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incluye el valor 2,5 y todos los que siguen hasta 2,8 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u w:val="single"/>
          <w:rtl w:val="0"/>
        </w:rPr>
        <w:t xml:space="preserve">pero no este valor</w:t>
      </w: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, que se debe contar en el intervalo siguiente. Este criterio debes tomarlo para contar las cantidades correspondientes a cada intervalo. En ese intervalo encontramos 6 datos (los que están tachados) por eso la frecuencia absoluta es 6.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899"/>
          <w:tab w:val="left" w:leader="none" w:pos="961"/>
        </w:tabs>
        <w:spacing w:before="1" w:line="360" w:lineRule="auto"/>
        <w:ind w:left="961" w:right="559" w:hanging="360"/>
        <w:jc w:val="both"/>
      </w:pPr>
      <w:r w:rsidDel="00000000" w:rsidR="00000000" w:rsidRPr="00000000">
        <w:rPr>
          <w:rFonts w:ascii="Arial MT" w:cs="Arial MT" w:eastAsia="Arial MT" w:hAnsi="Arial MT"/>
          <w:sz w:val="24"/>
          <w:szCs w:val="24"/>
          <w:rtl w:val="0"/>
        </w:rPr>
        <w:t xml:space="preserve">Realiza el histograma correspondiente usando el asistente para gráficos de Word.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Amatic SC">
    <w:embedRegular w:fontKey="{00000000-0000-0000-0000-000000000000}" r:id="rId1" w:subsetted="0"/>
    <w:embedBold w:fontKey="{00000000-0000-0000-0000-000000000000}" r:id="rId2" w:subsetted="0"/>
  </w:font>
  <w:font w:name="Arial MT"/>
  <w:font w:name="Cambria Math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matic SC" w:cs="Amatic SC" w:eastAsia="Amatic SC" w:hAnsi="Amatic SC"/>
        <w:b w:val="1"/>
        <w:color w:val="ff0000"/>
        <w:sz w:val="32"/>
        <w:szCs w:val="32"/>
      </w:rPr>
    </w:pPr>
    <w:r w:rsidDel="00000000" w:rsidR="00000000" w:rsidRPr="00000000">
      <w:rPr>
        <w:rFonts w:ascii="Amatic SC" w:cs="Amatic SC" w:eastAsia="Amatic SC" w:hAnsi="Amatic SC"/>
        <w:b w:val="1"/>
        <w:color w:val="ff0000"/>
        <w:sz w:val="32"/>
        <w:szCs w:val="32"/>
        <w:rtl w:val="0"/>
      </w:rPr>
      <w:t xml:space="preserve">Matemática</w:t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  <w:tab w:val="left" w:leader="none" w:pos="3430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ab/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962" w:hanging="360"/>
      </w:pPr>
      <w:rPr>
        <w:rFonts w:ascii="Arial MT" w:cs="Arial MT" w:eastAsia="Arial MT" w:hAnsi="Arial MT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12" w:hanging="360"/>
      </w:pPr>
      <w:rPr/>
    </w:lvl>
    <w:lvl w:ilvl="2">
      <w:start w:val="0"/>
      <w:numFmt w:val="bullet"/>
      <w:lvlText w:val="•"/>
      <w:lvlJc w:val="left"/>
      <w:pPr>
        <w:ind w:left="2664" w:hanging="360"/>
      </w:pPr>
      <w:rPr/>
    </w:lvl>
    <w:lvl w:ilvl="3">
      <w:start w:val="0"/>
      <w:numFmt w:val="bullet"/>
      <w:lvlText w:val="•"/>
      <w:lvlJc w:val="left"/>
      <w:pPr>
        <w:ind w:left="3516" w:hanging="360"/>
      </w:pPr>
      <w:rPr/>
    </w:lvl>
    <w:lvl w:ilvl="4">
      <w:start w:val="0"/>
      <w:numFmt w:val="bullet"/>
      <w:lvlText w:val="•"/>
      <w:lvlJc w:val="left"/>
      <w:pPr>
        <w:ind w:left="4368" w:hanging="360"/>
      </w:pPr>
      <w:rPr/>
    </w:lvl>
    <w:lvl w:ilvl="5">
      <w:start w:val="0"/>
      <w:numFmt w:val="bullet"/>
      <w:lvlText w:val="•"/>
      <w:lvlJc w:val="left"/>
      <w:pPr>
        <w:ind w:left="5220" w:hanging="360"/>
      </w:pPr>
      <w:rPr/>
    </w:lvl>
    <w:lvl w:ilvl="6">
      <w:start w:val="0"/>
      <w:numFmt w:val="bullet"/>
      <w:lvlText w:val="•"/>
      <w:lvlJc w:val="left"/>
      <w:pPr>
        <w:ind w:left="6072" w:hanging="360"/>
      </w:pPr>
      <w:rPr/>
    </w:lvl>
    <w:lvl w:ilvl="7">
      <w:start w:val="0"/>
      <w:numFmt w:val="bullet"/>
      <w:lvlText w:val="•"/>
      <w:lvlJc w:val="left"/>
      <w:pPr>
        <w:ind w:left="6924" w:hanging="360"/>
      </w:pPr>
      <w:rPr/>
    </w:lvl>
    <w:lvl w:ilvl="8">
      <w:start w:val="0"/>
      <w:numFmt w:val="bullet"/>
      <w:lvlText w:val="•"/>
      <w:lvlJc w:val="left"/>
      <w:pPr>
        <w:ind w:left="777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