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5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1374938</wp:posOffset>
            </wp:positionH>
            <wp:positionV relativeFrom="paragraph">
              <wp:posOffset>0</wp:posOffset>
            </wp:positionV>
            <wp:extent cx="2981325" cy="1136650"/>
            <wp:effectExtent b="0" l="0" r="0" t="0"/>
            <wp:wrapSquare wrapText="bothSides" distB="0" distT="0" distL="114300" distR="114300"/>
            <wp:docPr descr="https://lh6.googleusercontent.com/irNwPxaZQYzV3jRH1oLEtZUYBZ7m_O2iNdldnvwlFUSEOGYKkYRc8FYdhl6y6ccff9auK_zVBdpuO51Fco2pBFratOY5yVhjuouFPRFkxWLMyp7yaCcc3rtF7BNnautgejKBD7f54r3ttcETqRL1uw" id="1" name="image1.png"/>
            <a:graphic>
              <a:graphicData uri="http://schemas.openxmlformats.org/drawingml/2006/picture">
                <pic:pic>
                  <pic:nvPicPr>
                    <pic:cNvPr descr="https://lh6.googleusercontent.com/irNwPxaZQYzV3jRH1oLEtZUYBZ7m_O2iNdldnvwlFUSEOGYKkYRc8FYdhl6y6ccff9auK_zVBdpuO51Fco2pBFratOY5yVhjuouFPRFkxWLMyp7yaCcc3rtF7BNnautgejKBD7f54r3ttcETqRL1uw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136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before="45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5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5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45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left="1245" w:right="248" w:hanging="72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right="248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Los siguientes datos son los pesos (en kg) de 25 bebés nacidos en una maternidad. 2,8 - </w:t>
      </w:r>
      <w:r w:rsidDel="00000000" w:rsidR="00000000" w:rsidRPr="00000000">
        <w:rPr>
          <w:rFonts w:ascii="Arial MT" w:cs="Arial MT" w:eastAsia="Arial MT" w:hAnsi="Arial MT"/>
          <w:strike w:val="1"/>
          <w:sz w:val="24"/>
          <w:szCs w:val="24"/>
          <w:rtl w:val="0"/>
        </w:rPr>
        <w:t xml:space="preserve">2,5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 - 3,1 - 2,8 - 3,2 -3 - 3,9 - 3,7 - </w:t>
      </w:r>
      <w:r w:rsidDel="00000000" w:rsidR="00000000" w:rsidRPr="00000000">
        <w:rPr>
          <w:rFonts w:ascii="Arial MT" w:cs="Arial MT" w:eastAsia="Arial MT" w:hAnsi="Arial MT"/>
          <w:strike w:val="1"/>
          <w:sz w:val="24"/>
          <w:szCs w:val="24"/>
          <w:rtl w:val="0"/>
        </w:rPr>
        <w:t xml:space="preserve">2,6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 - 3,1 - 3 - 3,5 - </w:t>
      </w:r>
      <w:r w:rsidDel="00000000" w:rsidR="00000000" w:rsidRPr="00000000">
        <w:rPr>
          <w:rFonts w:ascii="Arial MT" w:cs="Arial MT" w:eastAsia="Arial MT" w:hAnsi="Arial MT"/>
          <w:strike w:val="1"/>
          <w:sz w:val="24"/>
          <w:szCs w:val="24"/>
          <w:rtl w:val="0"/>
        </w:rPr>
        <w:t xml:space="preserve">2,7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 MT" w:cs="Arial MT" w:eastAsia="Arial MT" w:hAnsi="Arial MT"/>
          <w:strike w:val="1"/>
          <w:sz w:val="24"/>
          <w:szCs w:val="24"/>
          <w:rtl w:val="0"/>
        </w:rPr>
        <w:t xml:space="preserve">2,6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 MT" w:cs="Arial MT" w:eastAsia="Arial MT" w:hAnsi="Arial MT"/>
          <w:strike w:val="1"/>
          <w:sz w:val="24"/>
          <w:szCs w:val="24"/>
          <w:rtl w:val="0"/>
        </w:rPr>
        <w:t xml:space="preserve">2,5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 - 3,8 - 3,2 - 2,9 -2,8 - 3,8 - 3,6 - 3,9 - 2,8 - 3,6 - </w:t>
      </w:r>
      <w:r w:rsidDel="00000000" w:rsidR="00000000" w:rsidRPr="00000000">
        <w:rPr>
          <w:rFonts w:ascii="Arial MT" w:cs="Arial MT" w:eastAsia="Arial MT" w:hAnsi="Arial MT"/>
          <w:strike w:val="1"/>
          <w:sz w:val="24"/>
          <w:szCs w:val="24"/>
          <w:rtl w:val="0"/>
        </w:rPr>
        <w:t xml:space="preserve">2,7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tabs>
          <w:tab w:val="left" w:leader="none" w:pos="959"/>
        </w:tabs>
        <w:spacing w:before="139" w:line="240" w:lineRule="auto"/>
        <w:ind w:left="959" w:hanging="358"/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Completa la siguiente tabla:</w:t>
      </w:r>
    </w:p>
    <w:p w:rsidR="00000000" w:rsidDel="00000000" w:rsidP="00000000" w:rsidRDefault="00000000" w:rsidRPr="00000000" w14:paraId="00000009">
      <w:pPr>
        <w:widowControl w:val="0"/>
        <w:spacing w:before="1" w:line="240" w:lineRule="auto"/>
        <w:rPr>
          <w:rFonts w:ascii="Arial MT" w:cs="Arial MT" w:eastAsia="Arial MT" w:hAnsi="Arial MT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36.0" w:type="dxa"/>
        <w:jc w:val="center"/>
        <w:tblBorders>
          <w:top w:color="ff0000" w:space="0" w:sz="4" w:val="single"/>
          <w:left w:color="ff0000" w:space="0" w:sz="4" w:val="single"/>
          <w:bottom w:color="ff0000" w:space="0" w:sz="4" w:val="single"/>
          <w:right w:color="ff0000" w:space="0" w:sz="4" w:val="single"/>
          <w:insideH w:color="ff0000" w:space="0" w:sz="4" w:val="single"/>
          <w:insideV w:color="ff0000" w:space="0" w:sz="4" w:val="single"/>
        </w:tblBorders>
        <w:tblLayout w:type="fixed"/>
        <w:tblLook w:val="0000"/>
      </w:tblPr>
      <w:tblGrid>
        <w:gridCol w:w="2624"/>
        <w:gridCol w:w="2230"/>
        <w:gridCol w:w="2117"/>
        <w:gridCol w:w="1365"/>
        <w:tblGridChange w:id="0">
          <w:tblGrid>
            <w:gridCol w:w="2624"/>
            <w:gridCol w:w="2230"/>
            <w:gridCol w:w="2117"/>
            <w:gridCol w:w="1365"/>
          </w:tblGrid>
        </w:tblGridChange>
      </w:tblGrid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74" w:lineRule="auto"/>
              <w:ind w:left="530" w:firstLine="0"/>
              <w:rPr>
                <w:rFonts w:ascii="Arial MT" w:cs="Arial MT" w:eastAsia="Arial MT" w:hAnsi="Arial MT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4"/>
                <w:szCs w:val="24"/>
                <w:rtl w:val="0"/>
              </w:rPr>
              <w:t xml:space="preserve">Intervalo de peso</w:t>
            </w:r>
          </w:p>
          <w:p w:rsidR="00000000" w:rsidDel="00000000" w:rsidP="00000000" w:rsidRDefault="00000000" w:rsidRPr="00000000" w14:paraId="0000000B">
            <w:pPr>
              <w:spacing w:before="139" w:lineRule="auto"/>
              <w:ind w:left="9" w:firstLine="0"/>
              <w:jc w:val="center"/>
              <w:rPr>
                <w:rFonts w:ascii="Arial MT" w:cs="Arial MT" w:eastAsia="Arial MT" w:hAnsi="Arial MT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4"/>
                <w:szCs w:val="24"/>
                <w:rtl w:val="0"/>
              </w:rPr>
              <w:t xml:space="preserve">(en kg)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4" w:lineRule="auto"/>
              <w:ind w:left="659" w:firstLine="0"/>
              <w:rPr>
                <w:rFonts w:ascii="Arial MT" w:cs="Arial MT" w:eastAsia="Arial MT" w:hAnsi="Arial MT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4"/>
                <w:szCs w:val="24"/>
                <w:rtl w:val="0"/>
              </w:rPr>
              <w:t xml:space="preserve">Frecuencia</w:t>
            </w:r>
          </w:p>
          <w:p w:rsidR="00000000" w:rsidDel="00000000" w:rsidP="00000000" w:rsidRDefault="00000000" w:rsidRPr="00000000" w14:paraId="0000000D">
            <w:pPr>
              <w:spacing w:before="139" w:lineRule="auto"/>
              <w:ind w:left="659" w:firstLine="0"/>
              <w:rPr>
                <w:rFonts w:ascii="Arial MT" w:cs="Arial MT" w:eastAsia="Arial MT" w:hAnsi="Arial MT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4"/>
                <w:szCs w:val="24"/>
                <w:rtl w:val="0"/>
              </w:rPr>
              <w:t xml:space="preserve">absoluta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4" w:lineRule="auto"/>
              <w:ind w:left="604" w:firstLine="0"/>
              <w:rPr>
                <w:rFonts w:ascii="Arial MT" w:cs="Arial MT" w:eastAsia="Arial MT" w:hAnsi="Arial MT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4"/>
                <w:szCs w:val="24"/>
                <w:rtl w:val="0"/>
              </w:rPr>
              <w:t xml:space="preserve">Frecuencia</w:t>
            </w:r>
          </w:p>
          <w:p w:rsidR="00000000" w:rsidDel="00000000" w:rsidP="00000000" w:rsidRDefault="00000000" w:rsidRPr="00000000" w14:paraId="0000000F">
            <w:pPr>
              <w:spacing w:before="139" w:lineRule="auto"/>
              <w:ind w:left="671" w:firstLine="0"/>
              <w:rPr>
                <w:rFonts w:ascii="Arial MT" w:cs="Arial MT" w:eastAsia="Arial MT" w:hAnsi="Arial MT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4"/>
                <w:szCs w:val="24"/>
                <w:rtl w:val="0"/>
              </w:rPr>
              <w:t xml:space="preserve">relativa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4" w:lineRule="auto"/>
              <w:ind w:left="108" w:firstLine="0"/>
              <w:rPr>
                <w:rFonts w:ascii="Arial MT" w:cs="Arial MT" w:eastAsia="Arial MT" w:hAnsi="Arial MT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4"/>
                <w:szCs w:val="24"/>
                <w:rtl w:val="0"/>
              </w:rPr>
              <w:t xml:space="preserve">Porcentaje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81" w:lineRule="auto"/>
              <w:ind w:right="788"/>
              <w:jc w:val="right"/>
              <w:rPr>
                <w:rFonts w:ascii="Cambria Math" w:cs="Cambria Math" w:eastAsia="Cambria Math" w:hAnsi="Cambria Math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[2,5; 2,8)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288" w:firstLine="0"/>
              <w:jc w:val="center"/>
              <w:rPr>
                <w:rFonts w:ascii="Arial MT" w:cs="Arial MT" w:eastAsia="Arial MT" w:hAnsi="Arial MT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81" w:lineRule="auto"/>
              <w:ind w:right="788"/>
              <w:jc w:val="right"/>
              <w:rPr>
                <w:rFonts w:ascii="Cambria Math" w:cs="Cambria Math" w:eastAsia="Cambria Math" w:hAnsi="Cambria Math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[2,8; 3,1)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81" w:lineRule="auto"/>
              <w:ind w:right="788"/>
              <w:jc w:val="right"/>
              <w:rPr>
                <w:rFonts w:ascii="Cambria Math" w:cs="Cambria Math" w:eastAsia="Cambria Math" w:hAnsi="Cambria Math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[3,1; 3,4)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79" w:lineRule="auto"/>
              <w:ind w:right="788"/>
              <w:jc w:val="right"/>
              <w:rPr>
                <w:rFonts w:ascii="Cambria Math" w:cs="Cambria Math" w:eastAsia="Cambria Math" w:hAnsi="Cambria Math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[3,4; 3,7)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79" w:lineRule="auto"/>
              <w:ind w:right="788"/>
              <w:jc w:val="right"/>
              <w:rPr>
                <w:rFonts w:ascii="Cambria Math" w:cs="Cambria Math" w:eastAsia="Cambria Math" w:hAnsi="Cambria Math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[3,7; 4,0)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74" w:lineRule="auto"/>
              <w:ind w:left="391" w:firstLine="0"/>
              <w:rPr>
                <w:rFonts w:ascii="Arial MT" w:cs="Arial MT" w:eastAsia="Arial MT" w:hAnsi="Arial MT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4"/>
                <w:szCs w:val="24"/>
                <w:rtl w:val="0"/>
              </w:rPr>
              <w:t xml:space="preserve">Totales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before="130" w:line="240" w:lineRule="auto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360" w:lineRule="auto"/>
        <w:ind w:left="242" w:right="399" w:firstLine="283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Observa que el intervalo 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[2,5; 2,8) 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incluye el valor 2,5 y todos los que siguen hasta 2,8 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u w:val="single"/>
          <w:rtl w:val="0"/>
        </w:rPr>
        <w:t xml:space="preserve">pero no este valor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, que se debe contar en el intervalo siguiente. Este criterio debes tomarlo para contar las cantidades correspondientes a cada intervalo. En ese intervalo encontramos 6 datos (los que están tachados) por eso la frecuencia absoluta es 6.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tabs>
          <w:tab w:val="left" w:leader="none" w:pos="899"/>
          <w:tab w:val="left" w:leader="none" w:pos="961"/>
        </w:tabs>
        <w:spacing w:before="1" w:line="360" w:lineRule="auto"/>
        <w:ind w:left="961" w:right="559" w:hanging="360"/>
        <w:jc w:val="both"/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Realiza el histograma correspondiente usando el asistente para gráficos de Word.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Amatic SC">
    <w:embedRegular w:fontKey="{00000000-0000-0000-0000-000000000000}" r:id="rId1" w:subsetted="0"/>
    <w:embedBold w:fontKey="{00000000-0000-0000-0000-000000000000}" r:id="rId2" w:subsetted="0"/>
  </w:font>
  <w:font w:name="Arial MT"/>
  <w:font w:name="Cambria Math">
    <w:embedRegular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Amatic SC" w:cs="Amatic SC" w:eastAsia="Amatic SC" w:hAnsi="Amatic SC"/>
        <w:b w:val="1"/>
        <w:color w:val="ff0000"/>
        <w:sz w:val="32"/>
        <w:szCs w:val="32"/>
      </w:rPr>
    </w:pPr>
    <w:r w:rsidDel="00000000" w:rsidR="00000000" w:rsidRPr="00000000">
      <w:rPr>
        <w:rFonts w:ascii="Amatic SC" w:cs="Amatic SC" w:eastAsia="Amatic SC" w:hAnsi="Amatic SC"/>
        <w:b w:val="1"/>
        <w:color w:val="ff0000"/>
        <w:sz w:val="32"/>
        <w:szCs w:val="32"/>
        <w:rtl w:val="0"/>
      </w:rPr>
      <w:t xml:space="preserve">Matemática</w:t>
    </w:r>
  </w:p>
  <w:p w:rsidR="00000000" w:rsidDel="00000000" w:rsidP="00000000" w:rsidRDefault="00000000" w:rsidRPr="00000000" w14:paraId="00000032">
    <w:pPr>
      <w:tabs>
        <w:tab w:val="center" w:leader="none" w:pos="4252"/>
        <w:tab w:val="right" w:leader="none" w:pos="8504"/>
        <w:tab w:val="left" w:leader="none" w:pos="3430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ab/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962" w:hanging="360"/>
      </w:pPr>
      <w:rPr>
        <w:rFonts w:ascii="Arial MT" w:cs="Arial MT" w:eastAsia="Arial MT" w:hAnsi="Arial MT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812" w:hanging="360"/>
      </w:pPr>
      <w:rPr/>
    </w:lvl>
    <w:lvl w:ilvl="2">
      <w:start w:val="0"/>
      <w:numFmt w:val="bullet"/>
      <w:lvlText w:val="•"/>
      <w:lvlJc w:val="left"/>
      <w:pPr>
        <w:ind w:left="2664" w:hanging="360"/>
      </w:pPr>
      <w:rPr/>
    </w:lvl>
    <w:lvl w:ilvl="3">
      <w:start w:val="0"/>
      <w:numFmt w:val="bullet"/>
      <w:lvlText w:val="•"/>
      <w:lvlJc w:val="left"/>
      <w:pPr>
        <w:ind w:left="3516" w:hanging="360"/>
      </w:pPr>
      <w:rPr/>
    </w:lvl>
    <w:lvl w:ilvl="4">
      <w:start w:val="0"/>
      <w:numFmt w:val="bullet"/>
      <w:lvlText w:val="•"/>
      <w:lvlJc w:val="left"/>
      <w:pPr>
        <w:ind w:left="4368" w:hanging="360"/>
      </w:pPr>
      <w:rPr/>
    </w:lvl>
    <w:lvl w:ilvl="5">
      <w:start w:val="0"/>
      <w:numFmt w:val="bullet"/>
      <w:lvlText w:val="•"/>
      <w:lvlJc w:val="left"/>
      <w:pPr>
        <w:ind w:left="5220" w:hanging="360"/>
      </w:pPr>
      <w:rPr/>
    </w:lvl>
    <w:lvl w:ilvl="6">
      <w:start w:val="0"/>
      <w:numFmt w:val="bullet"/>
      <w:lvlText w:val="•"/>
      <w:lvlJc w:val="left"/>
      <w:pPr>
        <w:ind w:left="6072" w:hanging="360"/>
      </w:pPr>
      <w:rPr/>
    </w:lvl>
    <w:lvl w:ilvl="7">
      <w:start w:val="0"/>
      <w:numFmt w:val="bullet"/>
      <w:lvlText w:val="•"/>
      <w:lvlJc w:val="left"/>
      <w:pPr>
        <w:ind w:left="6924" w:hanging="360"/>
      </w:pPr>
      <w:rPr/>
    </w:lvl>
    <w:lvl w:ilvl="8">
      <w:start w:val="0"/>
      <w:numFmt w:val="bullet"/>
      <w:lvlText w:val="•"/>
      <w:lvlJc w:val="left"/>
      <w:pPr>
        <w:ind w:left="7776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